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34BC9" w14:textId="77777777" w:rsidR="00E76381" w:rsidRPr="00485F4A" w:rsidRDefault="00E76381" w:rsidP="00E76381">
      <w:pPr>
        <w:pStyle w:val="Default"/>
      </w:pPr>
    </w:p>
    <w:p w14:paraId="3B0F5CF3" w14:textId="77777777" w:rsidR="00E76381" w:rsidRPr="00485F4A" w:rsidRDefault="00E76381" w:rsidP="00E76381">
      <w:pPr>
        <w:pStyle w:val="Default"/>
      </w:pPr>
      <w:r w:rsidRPr="00485F4A">
        <w:t>Sara Gawria, Study Program in Medicine KI Degree project 30 credits, Autumn 2025</w:t>
      </w:r>
    </w:p>
    <w:p w14:paraId="576DA4BA" w14:textId="77777777" w:rsidR="00E76381" w:rsidRPr="00485F4A" w:rsidRDefault="00E76381" w:rsidP="00E76381">
      <w:pPr>
        <w:pStyle w:val="Default"/>
      </w:pPr>
    </w:p>
    <w:p w14:paraId="2455543B" w14:textId="77777777" w:rsidR="00E76381" w:rsidRPr="00485F4A" w:rsidRDefault="00E76381" w:rsidP="00E76381">
      <w:pPr>
        <w:pStyle w:val="Default"/>
        <w:rPr>
          <w:b/>
          <w:bCs/>
        </w:rPr>
      </w:pPr>
      <w:r w:rsidRPr="00485F4A">
        <w:t>Supervisor: Jan Jakobsson</w:t>
      </w:r>
    </w:p>
    <w:p w14:paraId="788D1B0B" w14:textId="77777777" w:rsidR="00E76381" w:rsidRPr="00485F4A" w:rsidRDefault="00E76381" w:rsidP="00E76381">
      <w:pPr>
        <w:pStyle w:val="Default"/>
        <w:rPr>
          <w:b/>
          <w:bCs/>
        </w:rPr>
      </w:pPr>
    </w:p>
    <w:p w14:paraId="58537D5D" w14:textId="77777777" w:rsidR="00E76381" w:rsidRPr="00485F4A" w:rsidRDefault="00E76381" w:rsidP="00E76381">
      <w:pPr>
        <w:pStyle w:val="Default"/>
      </w:pPr>
      <w:r w:rsidRPr="00485F4A">
        <w:rPr>
          <w:b/>
          <w:bCs/>
        </w:rPr>
        <w:t xml:space="preserve">All-cause mortality up to 90-days after revision knee arthroplasty in Sweden, Register based study 2017-2022 </w:t>
      </w:r>
    </w:p>
    <w:p w14:paraId="15FD491B" w14:textId="77777777" w:rsidR="00E76381" w:rsidRPr="00485F4A" w:rsidRDefault="00E76381" w:rsidP="00E76381">
      <w:pPr>
        <w:pStyle w:val="Default"/>
      </w:pPr>
      <w:r w:rsidRPr="00485F4A">
        <w:rPr>
          <w:i/>
          <w:iCs/>
        </w:rPr>
        <w:t>Background: Revision of knee arthroplasty (</w:t>
      </w:r>
      <w:proofErr w:type="spellStart"/>
      <w:r w:rsidRPr="00485F4A">
        <w:rPr>
          <w:i/>
          <w:iCs/>
        </w:rPr>
        <w:t>rKA</w:t>
      </w:r>
      <w:proofErr w:type="spellEnd"/>
      <w:r w:rsidRPr="00485F4A">
        <w:rPr>
          <w:i/>
          <w:iCs/>
        </w:rPr>
        <w:t xml:space="preserve">) is performed when a primary implant fails. Despite improved techniques, </w:t>
      </w:r>
      <w:proofErr w:type="spellStart"/>
      <w:r w:rsidRPr="00485F4A">
        <w:rPr>
          <w:i/>
          <w:iCs/>
        </w:rPr>
        <w:t>rKA</w:t>
      </w:r>
      <w:proofErr w:type="spellEnd"/>
      <w:r w:rsidRPr="00485F4A">
        <w:rPr>
          <w:i/>
          <w:iCs/>
        </w:rPr>
        <w:t xml:space="preserve"> carries higher risks, and the most feared, mortality associated with revision procedures in Sweden, is poorly described. Aim: To determine the all-cause mortality up to 90-day after </w:t>
      </w:r>
      <w:proofErr w:type="spellStart"/>
      <w:r w:rsidRPr="00485F4A">
        <w:rPr>
          <w:i/>
          <w:iCs/>
        </w:rPr>
        <w:t>rKA</w:t>
      </w:r>
      <w:proofErr w:type="spellEnd"/>
      <w:r w:rsidRPr="00485F4A">
        <w:rPr>
          <w:i/>
          <w:iCs/>
        </w:rPr>
        <w:t xml:space="preserve"> in Sweden and the impact of patients’ characteristics and whether annual mortality rate changed over the study period 2017-2022. Methods: Register-based cohort study based on data from the Swedish Perioperative Register (SPOR). The analytic cohort included all </w:t>
      </w:r>
      <w:proofErr w:type="spellStart"/>
      <w:r w:rsidRPr="00485F4A">
        <w:rPr>
          <w:i/>
          <w:iCs/>
        </w:rPr>
        <w:t>rKA</w:t>
      </w:r>
      <w:proofErr w:type="spellEnd"/>
      <w:r w:rsidRPr="00485F4A">
        <w:rPr>
          <w:i/>
          <w:iCs/>
        </w:rPr>
        <w:t xml:space="preserve"> procedures (procedure code: NGC) from 2017–2022 (n=2964). Outcomes were mortality within 24 hours, 7, 30, and 90 days. Group comparisons used </w:t>
      </w:r>
      <w:r w:rsidRPr="00485F4A">
        <w:t xml:space="preserve">χ² tests and ANOVA. Multivariable logistic regression adjusted for calendar year, sex, age group, and American Society of Anaesthesiologists (ASA) classification. Results: Ninety-day mortality was overall low 16/2 964 (0.54%) with no significant variation in mortality rate over the study period (p=0.100). Thirty-day mortality was 6/2964 (0.20%). In the adjusted logistic regression, age &gt;80 years and ASA High (III–IV) were associated with significantly increased odds ratio for 90-day mortality OR 16.88, 95%CI 5.14–55.47 and OR 5.02, 95%CI 1.35–18.62, while sex and BMI were not. Mortality differed by indication, with the highest proportion among infection revisions (13%). Conclusions: Short-term mortality after </w:t>
      </w:r>
      <w:proofErr w:type="spellStart"/>
      <w:r w:rsidRPr="00485F4A">
        <w:t>rKA</w:t>
      </w:r>
      <w:proofErr w:type="spellEnd"/>
      <w:r w:rsidRPr="00485F4A">
        <w:t xml:space="preserve"> in Sweden is low and did not change over the study period 2017 and 2022. Advanced age and higher ASA class are the dominant risk factors, supporting preoperative risk stratification and optimisation. </w:t>
      </w:r>
    </w:p>
    <w:p w14:paraId="30EA4F00" w14:textId="77777777" w:rsidR="00485F4A" w:rsidRDefault="00485F4A" w:rsidP="00E76381">
      <w:pPr>
        <w:rPr>
          <w:rFonts w:ascii="Times New Roman" w:hAnsi="Times New Roman" w:cs="Times New Roman"/>
          <w:i/>
          <w:iCs/>
          <w:sz w:val="24"/>
          <w:szCs w:val="24"/>
        </w:rPr>
      </w:pPr>
    </w:p>
    <w:p w14:paraId="27E583B3" w14:textId="77777777" w:rsidR="00030CDE" w:rsidRPr="00485F4A" w:rsidRDefault="00E76381" w:rsidP="00E76381">
      <w:pPr>
        <w:rPr>
          <w:rFonts w:ascii="Times New Roman" w:hAnsi="Times New Roman" w:cs="Times New Roman"/>
          <w:i/>
          <w:iCs/>
          <w:sz w:val="24"/>
          <w:szCs w:val="24"/>
        </w:rPr>
      </w:pPr>
      <w:r w:rsidRPr="00485F4A">
        <w:rPr>
          <w:rFonts w:ascii="Times New Roman" w:hAnsi="Times New Roman" w:cs="Times New Roman"/>
          <w:i/>
          <w:iCs/>
          <w:sz w:val="24"/>
          <w:szCs w:val="24"/>
        </w:rPr>
        <w:t>Keywords: Knee arthroplasty revision, mortality, POMR, ASA-Class, revision complications</w:t>
      </w:r>
    </w:p>
    <w:p w14:paraId="0A87BB11" w14:textId="58E8D329" w:rsidR="00E76381" w:rsidRPr="00485F4A" w:rsidRDefault="00E76381" w:rsidP="00E76381">
      <w:pPr>
        <w:pStyle w:val="Default"/>
      </w:pPr>
    </w:p>
    <w:p w14:paraId="14202836" w14:textId="77777777" w:rsidR="00E76381" w:rsidRPr="00485F4A" w:rsidRDefault="00E76381" w:rsidP="00E76381">
      <w:pPr>
        <w:pStyle w:val="Default"/>
      </w:pPr>
    </w:p>
    <w:sectPr w:rsidR="00E76381" w:rsidRPr="00485F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381"/>
    <w:rsid w:val="00030CDE"/>
    <w:rsid w:val="00260C8B"/>
    <w:rsid w:val="00485F4A"/>
    <w:rsid w:val="006C4E91"/>
    <w:rsid w:val="00AB0FEF"/>
    <w:rsid w:val="00E76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6EDAA"/>
  <w15:chartTrackingRefBased/>
  <w15:docId w15:val="{966F9144-C371-448A-9176-A53637B11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E7638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267</Words>
  <Characters>1686</Characters>
  <Application>Microsoft Office Word</Application>
  <DocSecurity>0</DocSecurity>
  <Lines>27</Lines>
  <Paragraphs>5</Paragraphs>
  <ScaleCrop>false</ScaleCrop>
  <HeadingPairs>
    <vt:vector size="2" baseType="variant">
      <vt:variant>
        <vt:lpstr>Rubrik</vt:lpstr>
      </vt:variant>
      <vt:variant>
        <vt:i4>1</vt:i4>
      </vt:variant>
    </vt:vector>
  </HeadingPairs>
  <TitlesOfParts>
    <vt:vector size="1" baseType="lpstr">
      <vt:lpstr/>
    </vt:vector>
  </TitlesOfParts>
  <Company>HP Inc.</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Jakobsson</dc:creator>
  <cp:keywords/>
  <dc:description/>
  <cp:lastModifiedBy>Lyckner, Sara</cp:lastModifiedBy>
  <cp:revision>3</cp:revision>
  <dcterms:created xsi:type="dcterms:W3CDTF">2026-02-03T17:51:00Z</dcterms:created>
  <dcterms:modified xsi:type="dcterms:W3CDTF">2026-02-03T17:57:00Z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f846de-c930-4e9f-b947-28e55b6250ba_Enabled">
    <vt:lpwstr>true</vt:lpwstr>
  </property>
  <property fmtid="{D5CDD505-2E9C-101B-9397-08002B2CF9AE}" pid="3" name="MSIP_Label_4bf846de-c930-4e9f-b947-28e55b6250ba_SetDate">
    <vt:lpwstr>2026-02-03T17:51:23Z</vt:lpwstr>
  </property>
  <property fmtid="{D5CDD505-2E9C-101B-9397-08002B2CF9AE}" pid="4" name="MSIP_Label_4bf846de-c930-4e9f-b947-28e55b6250ba_Method">
    <vt:lpwstr>Standard</vt:lpwstr>
  </property>
  <property fmtid="{D5CDD505-2E9C-101B-9397-08002B2CF9AE}" pid="5" name="MSIP_Label_4bf846de-c930-4e9f-b947-28e55b6250ba_Name">
    <vt:lpwstr>Öppen</vt:lpwstr>
  </property>
  <property fmtid="{D5CDD505-2E9C-101B-9397-08002B2CF9AE}" pid="6" name="MSIP_Label_4bf846de-c930-4e9f-b947-28e55b6250ba_SiteId">
    <vt:lpwstr>a3237c65-ca15-4f06-b6bc-4eadd0e561c2</vt:lpwstr>
  </property>
  <property fmtid="{D5CDD505-2E9C-101B-9397-08002B2CF9AE}" pid="7" name="MSIP_Label_4bf846de-c930-4e9f-b947-28e55b6250ba_ActionId">
    <vt:lpwstr>837d9640-114f-428f-9ca1-9c47569f01e2</vt:lpwstr>
  </property>
  <property fmtid="{D5CDD505-2E9C-101B-9397-08002B2CF9AE}" pid="8" name="MSIP_Label_4bf846de-c930-4e9f-b947-28e55b6250ba_ContentBits">
    <vt:lpwstr>0</vt:lpwstr>
  </property>
  <property fmtid="{D5CDD505-2E9C-101B-9397-08002B2CF9AE}" pid="9" name="MSIP_Label_4bf846de-c930-4e9f-b947-28e55b6250ba_Tag">
    <vt:lpwstr>10, 3, 0, 1</vt:lpwstr>
  </property>
</Properties>
</file>